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江苏省第二中医院设备调研必填表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2"/>
        <w:tblW w:w="15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95"/>
        <w:gridCol w:w="1530"/>
        <w:gridCol w:w="975"/>
        <w:gridCol w:w="975"/>
        <w:gridCol w:w="990"/>
        <w:gridCol w:w="1020"/>
        <w:gridCol w:w="795"/>
        <w:gridCol w:w="975"/>
        <w:gridCol w:w="2790"/>
        <w:gridCol w:w="90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设备名称（同注册证名称一致）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要求（宽*深*高mm）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有无供电、供水、环境等特殊要求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使用范围或适应症、配置、主要功能及技术优势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规定使用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有无耗材或试剂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注：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调研设备如有配套耗材或试剂，请填写江苏省第二中医院耗材试剂调研表（下页）。</w:t>
      </w:r>
      <w:bookmarkStart w:id="0" w:name="_GoBack"/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2、规定使用年限为设备铭牌上所标识的年限</w:t>
      </w:r>
      <w:bookmarkEnd w:id="0"/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 w:eastAsia="宋体"/>
          <w:b/>
          <w:szCs w:val="21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供应商代表签字：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江苏省第二中医院医用耗材调研必填表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971" w:tblpY="121"/>
        <w:tblOverlap w:val="never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58"/>
        <w:gridCol w:w="1666"/>
        <w:gridCol w:w="1390"/>
        <w:gridCol w:w="1551"/>
        <w:gridCol w:w="817"/>
        <w:gridCol w:w="945"/>
        <w:gridCol w:w="1095"/>
        <w:gridCol w:w="1065"/>
        <w:gridCol w:w="207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注册证名称）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医保</w:t>
            </w: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24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9" w:type="dxa"/>
            <w:noWrap w:val="0"/>
            <w:vAlign w:val="top"/>
          </w:tcPr>
          <w:p/>
        </w:tc>
        <w:tc>
          <w:tcPr>
            <w:tcW w:w="1758" w:type="dxa"/>
            <w:noWrap w:val="0"/>
            <w:vAlign w:val="top"/>
          </w:tcPr>
          <w:p/>
        </w:tc>
        <w:tc>
          <w:tcPr>
            <w:tcW w:w="1666" w:type="dxa"/>
            <w:noWrap w:val="0"/>
            <w:vAlign w:val="top"/>
          </w:tcPr>
          <w:p/>
        </w:tc>
        <w:tc>
          <w:tcPr>
            <w:tcW w:w="1390" w:type="dxa"/>
            <w:noWrap w:val="0"/>
            <w:vAlign w:val="top"/>
          </w:tcPr>
          <w:p/>
        </w:tc>
        <w:tc>
          <w:tcPr>
            <w:tcW w:w="1551" w:type="dxa"/>
            <w:noWrap w:val="0"/>
            <w:vAlign w:val="top"/>
          </w:tcPr>
          <w:p/>
        </w:tc>
        <w:tc>
          <w:tcPr>
            <w:tcW w:w="817" w:type="dxa"/>
            <w:noWrap w:val="0"/>
            <w:vAlign w:val="top"/>
          </w:tcPr>
          <w:p/>
        </w:tc>
        <w:tc>
          <w:tcPr>
            <w:tcW w:w="945" w:type="dxa"/>
            <w:noWrap w:val="0"/>
            <w:vAlign w:val="top"/>
          </w:tcPr>
          <w:p/>
        </w:tc>
        <w:tc>
          <w:tcPr>
            <w:tcW w:w="1095" w:type="dxa"/>
            <w:noWrap w:val="0"/>
            <w:vAlign w:val="top"/>
          </w:tcPr>
          <w:p/>
        </w:tc>
        <w:tc>
          <w:tcPr>
            <w:tcW w:w="1065" w:type="dxa"/>
            <w:noWrap w:val="0"/>
            <w:vAlign w:val="top"/>
          </w:tcPr>
          <w:p/>
        </w:tc>
        <w:tc>
          <w:tcPr>
            <w:tcW w:w="2070" w:type="dxa"/>
            <w:noWrap w:val="0"/>
            <w:vAlign w:val="top"/>
          </w:tcPr>
          <w:p/>
        </w:tc>
        <w:tc>
          <w:tcPr>
            <w:tcW w:w="117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eastAsia" w:ascii="宋体" w:hAnsi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</w:t>
      </w: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江苏省第二中医院医用试剂调研必填表</w:t>
      </w: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名称：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授权人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/>
          <w:sz w:val="28"/>
          <w:szCs w:val="28"/>
          <w:u w:val="none"/>
          <w:lang w:val="en-US" w:eastAsia="zh-CN"/>
        </w:rPr>
        <w:t>联系方式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5"/>
        <w:adjustRightInd w:val="0"/>
        <w:spacing w:before="160" w:after="160"/>
        <w:ind w:firstLine="281" w:firstLineChars="100"/>
        <w:contextualSpacing/>
        <w:rPr>
          <w:rFonts w:hint="default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配套使用设备名称：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166" w:tblpY="126"/>
        <w:tblOverlap w:val="never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56"/>
        <w:gridCol w:w="1350"/>
        <w:gridCol w:w="1519"/>
        <w:gridCol w:w="966"/>
        <w:gridCol w:w="936"/>
        <w:gridCol w:w="767"/>
        <w:gridCol w:w="1316"/>
        <w:gridCol w:w="1041"/>
        <w:gridCol w:w="1084"/>
        <w:gridCol w:w="159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产品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称（注册证名称）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生产厂家（品牌）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注册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证号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规格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型号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单人份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格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中标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编码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物价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编码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91" w:type="dxa"/>
            <w:noWrap w:val="0"/>
            <w:vAlign w:val="top"/>
          </w:tcPr>
          <w:p/>
        </w:tc>
        <w:tc>
          <w:tcPr>
            <w:tcW w:w="1856" w:type="dxa"/>
            <w:noWrap w:val="0"/>
            <w:vAlign w:val="top"/>
          </w:tcPr>
          <w:p/>
        </w:tc>
        <w:tc>
          <w:tcPr>
            <w:tcW w:w="1350" w:type="dxa"/>
            <w:noWrap w:val="0"/>
            <w:vAlign w:val="top"/>
          </w:tcPr>
          <w:p/>
        </w:tc>
        <w:tc>
          <w:tcPr>
            <w:tcW w:w="1519" w:type="dxa"/>
            <w:noWrap w:val="0"/>
            <w:vAlign w:val="top"/>
          </w:tcPr>
          <w:p/>
        </w:tc>
        <w:tc>
          <w:tcPr>
            <w:tcW w:w="966" w:type="dxa"/>
            <w:noWrap w:val="0"/>
            <w:vAlign w:val="top"/>
          </w:tcPr>
          <w:p/>
        </w:tc>
        <w:tc>
          <w:tcPr>
            <w:tcW w:w="936" w:type="dxa"/>
            <w:noWrap w:val="0"/>
            <w:vAlign w:val="top"/>
          </w:tcPr>
          <w:p/>
        </w:tc>
        <w:tc>
          <w:tcPr>
            <w:tcW w:w="767" w:type="dxa"/>
            <w:noWrap w:val="0"/>
            <w:vAlign w:val="top"/>
          </w:tcPr>
          <w:p/>
        </w:tc>
        <w:tc>
          <w:tcPr>
            <w:tcW w:w="1316" w:type="dxa"/>
            <w:noWrap w:val="0"/>
            <w:vAlign w:val="top"/>
          </w:tcPr>
          <w:p/>
        </w:tc>
        <w:tc>
          <w:tcPr>
            <w:tcW w:w="1041" w:type="dxa"/>
            <w:noWrap w:val="0"/>
            <w:vAlign w:val="top"/>
          </w:tcPr>
          <w:p/>
        </w:tc>
        <w:tc>
          <w:tcPr>
            <w:tcW w:w="1084" w:type="dxa"/>
            <w:noWrap w:val="0"/>
            <w:vAlign w:val="top"/>
          </w:tcPr>
          <w:p/>
        </w:tc>
        <w:tc>
          <w:tcPr>
            <w:tcW w:w="1590" w:type="dxa"/>
            <w:noWrap w:val="0"/>
            <w:vAlign w:val="top"/>
          </w:tcPr>
          <w:p/>
        </w:tc>
        <w:tc>
          <w:tcPr>
            <w:tcW w:w="1259" w:type="dxa"/>
            <w:noWrap w:val="0"/>
            <w:vAlign w:val="top"/>
          </w:tcPr>
          <w:p/>
        </w:tc>
      </w:tr>
    </w:tbl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b w:val="0"/>
          <w:bCs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40" w:lineRule="exact"/>
        <w:ind w:firstLine="0" w:firstLineChars="0"/>
        <w:contextualSpacing/>
        <w:textAlignment w:val="auto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供应商代表确认签字：</w:t>
      </w:r>
    </w:p>
    <w:p/>
    <w:sectPr>
      <w:pgSz w:w="16838" w:h="11906" w:orient="landscape"/>
      <w:pgMar w:top="720" w:right="323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76C1"/>
    <w:rsid w:val="212C7A16"/>
    <w:rsid w:val="2F742681"/>
    <w:rsid w:val="3F450CD0"/>
    <w:rsid w:val="418B47B5"/>
    <w:rsid w:val="541937DD"/>
    <w:rsid w:val="565257EC"/>
    <w:rsid w:val="570973D7"/>
    <w:rsid w:val="7BF06237"/>
    <w:rsid w:val="7CD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2020-10-28T00:44:00Z</dcterms:created>
  <dc:creator>Administrator</dc:creator>
  <cp:lastModifiedBy>绿色心情</cp:lastModifiedBy>
  <cp:lastPrinted>2020-10-28T01:30:00Z</cp:lastPrinted>
  <dcterms:modified xsi:type="dcterms:W3CDTF">2021-06-23T01:33:08Z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DF833072997648B0B0A39A5A0AB1DC2B</vt:lpwstr>
  </property>
</Properties>
</file>