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lang w:val="en-US" w:eastAsia="zh-CN"/>
        </w:rPr>
      </w:pPr>
      <w:bookmarkStart w:id="10" w:name="_GoBack"/>
      <w:bookmarkEnd w:id="10"/>
      <w:r>
        <w:rPr>
          <w:rFonts w:hint="eastAsia"/>
          <w:b/>
          <w:bCs/>
          <w:sz w:val="40"/>
          <w:szCs w:val="40"/>
          <w:lang w:val="en-US" w:eastAsia="zh-CN"/>
        </w:rPr>
        <w:t>2016年院内课题列表</w:t>
      </w:r>
    </w:p>
    <w:tbl>
      <w:tblPr>
        <w:tblStyle w:val="4"/>
        <w:tblpPr w:leftFromText="180" w:rightFromText="180" w:vertAnchor="text" w:horzAnchor="page" w:tblpXSpec="center" w:tblpY="993"/>
        <w:tblOverlap w:val="never"/>
        <w:tblW w:w="13917" w:type="dxa"/>
        <w:jc w:val="center"/>
        <w:tblInd w:w="-1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5"/>
        <w:gridCol w:w="682"/>
        <w:gridCol w:w="1215"/>
        <w:gridCol w:w="6918"/>
        <w:gridCol w:w="194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75" w:type="dxa"/>
            <w:vAlign w:val="center"/>
          </w:tcPr>
          <w:p>
            <w:pPr>
              <w:spacing w:line="240" w:lineRule="auto"/>
              <w:rPr>
                <w:rFonts w:hint="eastAsia"/>
                <w:b/>
                <w:bCs/>
                <w:sz w:val="24"/>
                <w:szCs w:val="24"/>
                <w:vertAlign w:val="baseline"/>
                <w:lang w:val="en-US" w:eastAsia="zh-CN"/>
              </w:rPr>
            </w:pPr>
            <w:r>
              <w:rPr>
                <w:rFonts w:hint="eastAsia"/>
                <w:b/>
                <w:bCs/>
                <w:sz w:val="24"/>
                <w:szCs w:val="24"/>
                <w:vertAlign w:val="baseline"/>
                <w:lang w:val="en-US" w:eastAsia="zh-CN"/>
              </w:rPr>
              <w:t>中标时间</w:t>
            </w:r>
          </w:p>
        </w:tc>
        <w:tc>
          <w:tcPr>
            <w:tcW w:w="682" w:type="dxa"/>
            <w:vAlign w:val="center"/>
          </w:tcPr>
          <w:p>
            <w:pPr>
              <w:spacing w:line="240" w:lineRule="auto"/>
              <w:rPr>
                <w:rFonts w:hint="eastAsia"/>
                <w:b/>
                <w:bCs/>
                <w:sz w:val="24"/>
                <w:szCs w:val="24"/>
                <w:vertAlign w:val="baseline"/>
                <w:lang w:val="en-US" w:eastAsia="zh-CN"/>
              </w:rPr>
            </w:pPr>
            <w:r>
              <w:rPr>
                <w:rFonts w:hint="eastAsia"/>
                <w:b/>
                <w:bCs/>
                <w:sz w:val="24"/>
                <w:szCs w:val="24"/>
                <w:vertAlign w:val="baseline"/>
                <w:lang w:val="en-US" w:eastAsia="zh-CN"/>
              </w:rPr>
              <w:t>年限</w:t>
            </w:r>
          </w:p>
        </w:tc>
        <w:tc>
          <w:tcPr>
            <w:tcW w:w="1215" w:type="dxa"/>
            <w:vAlign w:val="center"/>
          </w:tcPr>
          <w:p>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主持人</w:t>
            </w:r>
          </w:p>
        </w:tc>
        <w:tc>
          <w:tcPr>
            <w:tcW w:w="6918" w:type="dxa"/>
            <w:vAlign w:val="center"/>
          </w:tcPr>
          <w:p>
            <w:pPr>
              <w:spacing w:line="240" w:lineRule="auto"/>
              <w:jc w:val="both"/>
              <w:rPr>
                <w:rFonts w:hint="eastAsia"/>
                <w:b/>
                <w:bCs/>
                <w:sz w:val="24"/>
                <w:szCs w:val="24"/>
                <w:vertAlign w:val="baseline"/>
                <w:lang w:val="en-US" w:eastAsia="zh-CN"/>
              </w:rPr>
            </w:pPr>
            <w:r>
              <w:rPr>
                <w:rFonts w:hint="eastAsia"/>
                <w:b/>
                <w:bCs/>
                <w:sz w:val="24"/>
                <w:szCs w:val="24"/>
                <w:vertAlign w:val="baseline"/>
                <w:lang w:val="en-US" w:eastAsia="zh-CN"/>
              </w:rPr>
              <w:t>课题标题</w:t>
            </w:r>
          </w:p>
        </w:tc>
        <w:tc>
          <w:tcPr>
            <w:tcW w:w="1947" w:type="dxa"/>
            <w:vAlign w:val="center"/>
          </w:tcPr>
          <w:p>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编号</w:t>
            </w:r>
          </w:p>
        </w:tc>
        <w:tc>
          <w:tcPr>
            <w:tcW w:w="913" w:type="dxa"/>
            <w:vAlign w:val="center"/>
          </w:tcPr>
          <w:p>
            <w:pPr>
              <w:spacing w:line="240" w:lineRule="auto"/>
              <w:rPr>
                <w:rFonts w:hint="eastAsia"/>
                <w:b/>
                <w:bCs/>
                <w:sz w:val="24"/>
                <w:szCs w:val="24"/>
                <w:vertAlign w:val="baseline"/>
                <w:lang w:val="en-US" w:eastAsia="zh-CN"/>
              </w:rPr>
            </w:pPr>
            <w:r>
              <w:rPr>
                <w:rFonts w:hint="eastAsia"/>
                <w:b/>
                <w:bCs/>
                <w:sz w:val="24"/>
                <w:szCs w:val="24"/>
                <w:vertAlign w:val="baseline"/>
                <w:lang w:val="en-US" w:eastAsia="zh-CN"/>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bookmarkStart w:id="0" w:name="OLE_LINK2" w:colFirst="1" w:colLast="1"/>
            <w:bookmarkStart w:id="1" w:name="OLE_LINK4" w:colFirst="2" w:colLast="2"/>
            <w:bookmarkStart w:id="2" w:name="OLE_LINK5" w:colFirst="1" w:colLast="1"/>
            <w:bookmarkStart w:id="3" w:name="OLE_LINK9" w:colFirst="2" w:colLast="2"/>
            <w:r>
              <w:rPr>
                <w:rFonts w:hint="eastAsia"/>
                <w:sz w:val="24"/>
                <w:szCs w:val="24"/>
                <w:vertAlign w:val="baseline"/>
                <w:lang w:val="en-US" w:eastAsia="zh-CN"/>
              </w:rPr>
              <w:t>1</w:t>
            </w:r>
          </w:p>
        </w:tc>
        <w:tc>
          <w:tcPr>
            <w:tcW w:w="1275" w:type="dxa"/>
            <w:vAlign w:val="center"/>
          </w:tcPr>
          <w:p>
            <w:pPr>
              <w:spacing w:line="240" w:lineRule="auto"/>
              <w:rPr>
                <w:rFonts w:hint="eastAsia"/>
                <w:sz w:val="24"/>
                <w:szCs w:val="24"/>
                <w:vertAlign w:val="baseline"/>
                <w:lang w:val="en-US" w:eastAsia="zh-CN"/>
              </w:rPr>
            </w:pPr>
            <w:bookmarkStart w:id="4" w:name="OLE_LINK1"/>
            <w:r>
              <w:rPr>
                <w:rFonts w:hint="eastAsia"/>
                <w:sz w:val="24"/>
                <w:szCs w:val="24"/>
                <w:vertAlign w:val="baseline"/>
                <w:lang w:val="en-US" w:eastAsia="zh-CN"/>
              </w:rPr>
              <w:t>2016</w:t>
            </w:r>
            <w:bookmarkEnd w:id="4"/>
            <w:r>
              <w:rPr>
                <w:rFonts w:hint="eastAsia"/>
                <w:sz w:val="24"/>
                <w:szCs w:val="24"/>
                <w:vertAlign w:val="baseline"/>
                <w:lang w:val="en-US" w:eastAsia="zh-CN"/>
              </w:rPr>
              <w:t>.1</w:t>
            </w:r>
          </w:p>
        </w:tc>
        <w:tc>
          <w:tcPr>
            <w:tcW w:w="682" w:type="dxa"/>
            <w:vAlign w:val="center"/>
          </w:tcPr>
          <w:p>
            <w:pPr>
              <w:spacing w:line="240" w:lineRule="auto"/>
              <w:rPr>
                <w:rFonts w:hint="eastAsia"/>
                <w:sz w:val="24"/>
                <w:szCs w:val="24"/>
                <w:vertAlign w:val="baseline"/>
                <w:lang w:val="en-US" w:eastAsia="zh-CN"/>
              </w:rPr>
            </w:pPr>
            <w:bookmarkStart w:id="5" w:name="OLE_LINK3"/>
            <w:r>
              <w:rPr>
                <w:rFonts w:hint="eastAsia"/>
                <w:sz w:val="24"/>
                <w:szCs w:val="24"/>
                <w:vertAlign w:val="baseline"/>
                <w:lang w:val="en-US" w:eastAsia="zh-CN"/>
              </w:rPr>
              <w:t>1年</w:t>
            </w:r>
            <w:bookmarkEnd w:id="5"/>
          </w:p>
        </w:tc>
        <w:tc>
          <w:tcPr>
            <w:tcW w:w="1215" w:type="dxa"/>
            <w:vAlign w:val="center"/>
          </w:tcPr>
          <w:p>
            <w:pPr>
              <w:jc w:val="center"/>
              <w:rPr>
                <w:rFonts w:hint="eastAsia"/>
                <w:sz w:val="24"/>
                <w:szCs w:val="24"/>
                <w:vertAlign w:val="baseline"/>
                <w:lang w:eastAsia="zh-CN"/>
              </w:rPr>
            </w:pPr>
            <w:r>
              <w:rPr>
                <w:rFonts w:hint="eastAsia"/>
                <w:color w:val="000000"/>
                <w:szCs w:val="21"/>
              </w:rPr>
              <w:t>曹铁民</w:t>
            </w:r>
          </w:p>
        </w:tc>
        <w:tc>
          <w:tcPr>
            <w:tcW w:w="6918" w:type="dxa"/>
            <w:vAlign w:val="center"/>
          </w:tcPr>
          <w:p>
            <w:pPr>
              <w:rPr>
                <w:rFonts w:hint="eastAsia"/>
                <w:sz w:val="24"/>
                <w:szCs w:val="24"/>
                <w:vertAlign w:val="baseline"/>
                <w:lang w:eastAsia="zh-CN"/>
              </w:rPr>
            </w:pPr>
            <w:r>
              <w:rPr>
                <w:rFonts w:hint="eastAsia" w:ascii="方正仿宋_GBK" w:eastAsia="方正仿宋_GBK"/>
                <w:color w:val="000000"/>
                <w:szCs w:val="21"/>
              </w:rPr>
              <w:t>针药结合治疗脑卒中后心肾不交型睡眠障碍的临床研究</w:t>
            </w:r>
          </w:p>
        </w:tc>
        <w:tc>
          <w:tcPr>
            <w:tcW w:w="1947" w:type="dxa"/>
            <w:vAlign w:val="center"/>
          </w:tcPr>
          <w:p>
            <w:pPr>
              <w:rPr>
                <w:rFonts w:hint="eastAsia"/>
                <w:sz w:val="24"/>
                <w:szCs w:val="24"/>
                <w:vertAlign w:val="baseline"/>
                <w:lang w:val="en-US" w:eastAsia="zh-CN"/>
              </w:rPr>
            </w:pPr>
            <w:r>
              <w:rPr>
                <w:rFonts w:hint="eastAsia"/>
                <w:szCs w:val="21"/>
              </w:rPr>
              <w:t>SEZZJX201501</w:t>
            </w:r>
          </w:p>
        </w:tc>
        <w:tc>
          <w:tcPr>
            <w:tcW w:w="913" w:type="dxa"/>
            <w:vAlign w:val="center"/>
          </w:tcPr>
          <w:p>
            <w:pPr>
              <w:rPr>
                <w:rFonts w:hint="eastAsia"/>
                <w:sz w:val="24"/>
                <w:szCs w:val="24"/>
                <w:vertAlign w:val="baseline"/>
                <w:lang w:val="en-US" w:eastAsia="zh-CN"/>
              </w:rPr>
            </w:pPr>
            <w:r>
              <w:rPr>
                <w:rFonts w:hint="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单  华</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磁共振弥散张量成像（DTI）对脊髓型颈椎病及针刺治疗疗效评价的初步探讨与应用</w:t>
            </w:r>
          </w:p>
        </w:tc>
        <w:tc>
          <w:tcPr>
            <w:tcW w:w="1947" w:type="dxa"/>
            <w:vAlign w:val="center"/>
          </w:tcPr>
          <w:p>
            <w:pPr>
              <w:rPr>
                <w:rFonts w:hint="eastAsia"/>
                <w:sz w:val="24"/>
                <w:szCs w:val="24"/>
                <w:vertAlign w:val="baseline"/>
                <w:lang w:val="en-US" w:eastAsia="zh-CN"/>
              </w:rPr>
            </w:pPr>
            <w:r>
              <w:rPr>
                <w:rFonts w:hint="eastAsia"/>
                <w:szCs w:val="21"/>
              </w:rPr>
              <w:t>SEZZJX201502</w:t>
            </w:r>
          </w:p>
        </w:tc>
        <w:tc>
          <w:tcPr>
            <w:tcW w:w="913" w:type="dxa"/>
            <w:vAlign w:val="center"/>
          </w:tcPr>
          <w:p>
            <w:pPr>
              <w:rPr>
                <w:rFonts w:hint="eastAsia"/>
                <w:sz w:val="24"/>
                <w:szCs w:val="24"/>
                <w:vertAlign w:val="baseline"/>
                <w:lang w:val="en-US" w:eastAsia="zh-CN"/>
              </w:rPr>
            </w:pPr>
            <w:r>
              <w:rPr>
                <w:rFonts w:hint="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3</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张镇峰</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针刺结合整脊手法治疗血管神经性头痛的疗效及</w:t>
            </w:r>
            <w:r>
              <w:rPr>
                <w:rFonts w:hint="eastAsia"/>
                <w:color w:val="000000"/>
                <w:szCs w:val="21"/>
              </w:rPr>
              <w:t>血流动力学</w:t>
            </w:r>
            <w:r>
              <w:rPr>
                <w:rFonts w:hint="eastAsia" w:ascii="方正仿宋_GBK" w:eastAsia="方正仿宋_GBK"/>
                <w:color w:val="000000"/>
                <w:szCs w:val="21"/>
              </w:rPr>
              <w:t>研究</w:t>
            </w:r>
          </w:p>
        </w:tc>
        <w:tc>
          <w:tcPr>
            <w:tcW w:w="1947" w:type="dxa"/>
            <w:vAlign w:val="center"/>
          </w:tcPr>
          <w:p>
            <w:pPr>
              <w:rPr>
                <w:rFonts w:hint="eastAsia"/>
                <w:sz w:val="24"/>
                <w:szCs w:val="24"/>
                <w:vertAlign w:val="baseline"/>
                <w:lang w:val="en-US" w:eastAsia="zh-CN"/>
              </w:rPr>
            </w:pPr>
            <w:r>
              <w:rPr>
                <w:rFonts w:hint="eastAsia"/>
                <w:szCs w:val="21"/>
              </w:rPr>
              <w:t>SEZZJX201503</w:t>
            </w:r>
          </w:p>
        </w:tc>
        <w:tc>
          <w:tcPr>
            <w:tcW w:w="913" w:type="dxa"/>
            <w:vAlign w:val="center"/>
          </w:tcPr>
          <w:p>
            <w:pPr>
              <w:rPr>
                <w:rFonts w:hint="eastAsia"/>
                <w:sz w:val="24"/>
                <w:szCs w:val="24"/>
                <w:vertAlign w:val="baseline"/>
                <w:lang w:val="en-US" w:eastAsia="zh-CN"/>
              </w:rPr>
            </w:pPr>
            <w:r>
              <w:rPr>
                <w:rFonts w:hint="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4</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王启月</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穴位贴敷治疗虚寒型胃脘痛的疗效观察及护理</w:t>
            </w:r>
          </w:p>
        </w:tc>
        <w:tc>
          <w:tcPr>
            <w:tcW w:w="1947" w:type="dxa"/>
            <w:vAlign w:val="center"/>
          </w:tcPr>
          <w:p>
            <w:pPr>
              <w:rPr>
                <w:rFonts w:hint="eastAsia"/>
                <w:sz w:val="24"/>
                <w:szCs w:val="24"/>
                <w:vertAlign w:val="baseline"/>
                <w:lang w:val="en-US" w:eastAsia="zh-CN"/>
              </w:rPr>
            </w:pPr>
            <w:r>
              <w:rPr>
                <w:rFonts w:hint="eastAsia"/>
                <w:szCs w:val="21"/>
              </w:rPr>
              <w:t>SEZZJX201504</w:t>
            </w:r>
          </w:p>
        </w:tc>
        <w:tc>
          <w:tcPr>
            <w:tcW w:w="913" w:type="dxa"/>
            <w:vAlign w:val="center"/>
          </w:tcPr>
          <w:p>
            <w:pPr>
              <w:rPr>
                <w:rFonts w:hint="eastAsia"/>
                <w:sz w:val="24"/>
                <w:szCs w:val="24"/>
                <w:vertAlign w:val="baseline"/>
                <w:lang w:val="en-US" w:eastAsia="zh-CN"/>
              </w:rPr>
            </w:pPr>
            <w:r>
              <w:rPr>
                <w:rFonts w:hint="eastAsia"/>
                <w:szCs w:val="21"/>
              </w:rPr>
              <w:t>1万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5</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马 辉</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热敏灸结合针刺治疗中风后肢体痉挛状态的临床疗效评价</w:t>
            </w:r>
          </w:p>
        </w:tc>
        <w:tc>
          <w:tcPr>
            <w:tcW w:w="1947" w:type="dxa"/>
            <w:vAlign w:val="center"/>
          </w:tcPr>
          <w:p>
            <w:pPr>
              <w:rPr>
                <w:rFonts w:hint="eastAsia"/>
                <w:sz w:val="24"/>
                <w:szCs w:val="24"/>
                <w:vertAlign w:val="baseline"/>
                <w:lang w:val="en-US" w:eastAsia="zh-CN"/>
              </w:rPr>
            </w:pPr>
            <w:r>
              <w:rPr>
                <w:rFonts w:hint="eastAsia"/>
                <w:szCs w:val="21"/>
              </w:rPr>
              <w:t>SEZZJX201505</w:t>
            </w:r>
          </w:p>
        </w:tc>
        <w:tc>
          <w:tcPr>
            <w:tcW w:w="913" w:type="dxa"/>
            <w:vAlign w:val="center"/>
          </w:tcPr>
          <w:p>
            <w:pPr>
              <w:rPr>
                <w:rFonts w:hint="eastAsia"/>
                <w:sz w:val="24"/>
                <w:szCs w:val="24"/>
                <w:vertAlign w:val="baseline"/>
                <w:lang w:val="en-US" w:eastAsia="zh-CN"/>
              </w:rPr>
            </w:pPr>
            <w:r>
              <w:rPr>
                <w:rFonts w:hint="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6</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王 炜</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针灸与角膜塑形镜相结合在控制近视发展中的临床研究</w:t>
            </w:r>
          </w:p>
        </w:tc>
        <w:tc>
          <w:tcPr>
            <w:tcW w:w="1947" w:type="dxa"/>
            <w:vAlign w:val="center"/>
          </w:tcPr>
          <w:p>
            <w:pPr>
              <w:rPr>
                <w:rFonts w:hint="eastAsia"/>
                <w:sz w:val="24"/>
                <w:szCs w:val="24"/>
                <w:vertAlign w:val="baseline"/>
                <w:lang w:val="en-US" w:eastAsia="zh-CN"/>
              </w:rPr>
            </w:pPr>
            <w:r>
              <w:rPr>
                <w:rFonts w:hint="eastAsia"/>
                <w:szCs w:val="21"/>
              </w:rPr>
              <w:t>SEZZJX201506</w:t>
            </w:r>
          </w:p>
        </w:tc>
        <w:tc>
          <w:tcPr>
            <w:tcW w:w="913" w:type="dxa"/>
            <w:vAlign w:val="center"/>
          </w:tcPr>
          <w:p>
            <w:pPr>
              <w:rPr>
                <w:rFonts w:hint="eastAsia"/>
                <w:sz w:val="24"/>
                <w:szCs w:val="24"/>
                <w:vertAlign w:val="baseline"/>
                <w:lang w:val="en-US" w:eastAsia="zh-CN"/>
              </w:rPr>
            </w:pPr>
            <w:r>
              <w:rPr>
                <w:rFonts w:hint="eastAsia"/>
                <w:szCs w:val="21"/>
              </w:rPr>
              <w:t>1万</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7</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王 栋</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针刺结合中药透药治疗脑卒中后肩手综合征疗效观察</w:t>
            </w:r>
          </w:p>
        </w:tc>
        <w:tc>
          <w:tcPr>
            <w:tcW w:w="1947" w:type="dxa"/>
            <w:vAlign w:val="center"/>
          </w:tcPr>
          <w:p>
            <w:pPr>
              <w:rPr>
                <w:rFonts w:hint="eastAsia"/>
                <w:sz w:val="24"/>
                <w:szCs w:val="24"/>
                <w:vertAlign w:val="baseline"/>
                <w:lang w:val="en-US" w:eastAsia="zh-CN"/>
              </w:rPr>
            </w:pPr>
            <w:r>
              <w:rPr>
                <w:rFonts w:hint="eastAsia"/>
                <w:szCs w:val="21"/>
              </w:rPr>
              <w:t>SEZZJX201507</w:t>
            </w:r>
          </w:p>
        </w:tc>
        <w:tc>
          <w:tcPr>
            <w:tcW w:w="913" w:type="dxa"/>
            <w:vAlign w:val="center"/>
          </w:tcPr>
          <w:p>
            <w:pPr>
              <w:rPr>
                <w:rFonts w:hint="eastAsia"/>
                <w:sz w:val="24"/>
                <w:szCs w:val="24"/>
                <w:vertAlign w:val="baseline"/>
                <w:lang w:val="en-US" w:eastAsia="zh-CN"/>
              </w:rPr>
            </w:pPr>
            <w:r>
              <w:rPr>
                <w:rFonts w:hint="eastAsia"/>
                <w:szCs w:val="21"/>
              </w:rPr>
              <w:t>1万</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8</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邹伟伟</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头穴透刺对脑梗死后轻度认知障碍干预效应的临床研究</w:t>
            </w:r>
          </w:p>
        </w:tc>
        <w:tc>
          <w:tcPr>
            <w:tcW w:w="1947" w:type="dxa"/>
            <w:vAlign w:val="center"/>
          </w:tcPr>
          <w:p>
            <w:pPr>
              <w:rPr>
                <w:rFonts w:hint="eastAsia"/>
                <w:sz w:val="24"/>
                <w:szCs w:val="24"/>
                <w:vertAlign w:val="baseline"/>
                <w:lang w:val="en-US" w:eastAsia="zh-CN"/>
              </w:rPr>
            </w:pPr>
            <w:r>
              <w:rPr>
                <w:rFonts w:hint="eastAsia"/>
                <w:szCs w:val="21"/>
              </w:rPr>
              <w:t>SEZZJX201508</w:t>
            </w:r>
          </w:p>
        </w:tc>
        <w:tc>
          <w:tcPr>
            <w:tcW w:w="913" w:type="dxa"/>
            <w:vAlign w:val="center"/>
          </w:tcPr>
          <w:p>
            <w:pPr>
              <w:rPr>
                <w:rFonts w:hint="eastAsia"/>
                <w:sz w:val="24"/>
                <w:szCs w:val="24"/>
                <w:vertAlign w:val="baseline"/>
                <w:lang w:val="en-US" w:eastAsia="zh-CN"/>
              </w:rPr>
            </w:pPr>
            <w:r>
              <w:rPr>
                <w:rFonts w:hint="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9</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李 浩</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疏肝健脾针法治疗腹泻型肠易激综合征疗效分析及对情志因素的影响</w:t>
            </w:r>
          </w:p>
        </w:tc>
        <w:tc>
          <w:tcPr>
            <w:tcW w:w="1947" w:type="dxa"/>
            <w:vAlign w:val="center"/>
          </w:tcPr>
          <w:p>
            <w:pPr>
              <w:rPr>
                <w:rFonts w:hint="eastAsia"/>
                <w:sz w:val="24"/>
                <w:szCs w:val="24"/>
                <w:vertAlign w:val="baseline"/>
                <w:lang w:val="en-US" w:eastAsia="zh-CN"/>
              </w:rPr>
            </w:pPr>
            <w:r>
              <w:rPr>
                <w:rFonts w:hint="eastAsia"/>
                <w:szCs w:val="21"/>
              </w:rPr>
              <w:t>SEZZJX201509</w:t>
            </w:r>
          </w:p>
        </w:tc>
        <w:tc>
          <w:tcPr>
            <w:tcW w:w="913" w:type="dxa"/>
            <w:vAlign w:val="center"/>
          </w:tcPr>
          <w:p>
            <w:pPr>
              <w:rPr>
                <w:rFonts w:hint="eastAsia"/>
                <w:sz w:val="24"/>
                <w:szCs w:val="24"/>
                <w:vertAlign w:val="baseline"/>
                <w:lang w:val="en-US" w:eastAsia="zh-CN"/>
              </w:rPr>
            </w:pPr>
            <w:r>
              <w:rPr>
                <w:rFonts w:hint="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10</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谢美芳</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针刺治疗高血压危象即时降压疗效的临床观察</w:t>
            </w:r>
          </w:p>
        </w:tc>
        <w:tc>
          <w:tcPr>
            <w:tcW w:w="1947" w:type="dxa"/>
            <w:vAlign w:val="center"/>
          </w:tcPr>
          <w:p>
            <w:pPr>
              <w:rPr>
                <w:rFonts w:hint="eastAsia"/>
                <w:sz w:val="24"/>
                <w:szCs w:val="24"/>
                <w:vertAlign w:val="baseline"/>
                <w:lang w:val="en-US" w:eastAsia="zh-CN"/>
              </w:rPr>
            </w:pPr>
            <w:r>
              <w:rPr>
                <w:rFonts w:hint="eastAsia"/>
                <w:szCs w:val="21"/>
              </w:rPr>
              <w:t>SEZZJX201510</w:t>
            </w:r>
          </w:p>
        </w:tc>
        <w:tc>
          <w:tcPr>
            <w:tcW w:w="913" w:type="dxa"/>
            <w:vAlign w:val="center"/>
          </w:tcPr>
          <w:p>
            <w:pPr>
              <w:rPr>
                <w:rFonts w:hint="eastAsia"/>
                <w:sz w:val="24"/>
                <w:szCs w:val="24"/>
                <w:vertAlign w:val="baseline"/>
                <w:lang w:val="en-US" w:eastAsia="zh-CN"/>
              </w:rPr>
            </w:pPr>
            <w:r>
              <w:rPr>
                <w:rFonts w:hint="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11</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jc w:val="center"/>
              <w:rPr>
                <w:rFonts w:hint="eastAsia"/>
                <w:sz w:val="24"/>
                <w:szCs w:val="24"/>
                <w:vertAlign w:val="baseline"/>
                <w:lang w:val="en-US" w:eastAsia="zh-CN"/>
              </w:rPr>
            </w:pPr>
            <w:r>
              <w:rPr>
                <w:rFonts w:hint="eastAsia"/>
                <w:color w:val="000000"/>
                <w:szCs w:val="21"/>
              </w:rPr>
              <w:t>毛 洁</w:t>
            </w:r>
          </w:p>
        </w:tc>
        <w:tc>
          <w:tcPr>
            <w:tcW w:w="6918" w:type="dxa"/>
            <w:vAlign w:val="center"/>
          </w:tcPr>
          <w:p>
            <w:pPr>
              <w:rPr>
                <w:rFonts w:hint="eastAsia"/>
                <w:sz w:val="24"/>
                <w:szCs w:val="24"/>
                <w:vertAlign w:val="baseline"/>
                <w:lang w:val="en-US" w:eastAsia="zh-CN"/>
              </w:rPr>
            </w:pPr>
            <w:r>
              <w:rPr>
                <w:rFonts w:hint="eastAsia" w:ascii="方正仿宋_GBK" w:eastAsia="方正仿宋_GBK"/>
                <w:color w:val="000000"/>
                <w:szCs w:val="21"/>
              </w:rPr>
              <w:t>针刺镇痛在清宫手术中的应用</w:t>
            </w:r>
          </w:p>
        </w:tc>
        <w:tc>
          <w:tcPr>
            <w:tcW w:w="1947" w:type="dxa"/>
            <w:vAlign w:val="center"/>
          </w:tcPr>
          <w:p>
            <w:pPr>
              <w:rPr>
                <w:rFonts w:hint="eastAsia"/>
                <w:sz w:val="24"/>
                <w:szCs w:val="24"/>
                <w:vertAlign w:val="baseline"/>
                <w:lang w:val="en-US" w:eastAsia="zh-CN"/>
              </w:rPr>
            </w:pPr>
            <w:r>
              <w:rPr>
                <w:rFonts w:hint="eastAsia"/>
                <w:szCs w:val="21"/>
              </w:rPr>
              <w:t>SEZZJX201511</w:t>
            </w:r>
          </w:p>
        </w:tc>
        <w:tc>
          <w:tcPr>
            <w:tcW w:w="913" w:type="dxa"/>
            <w:vAlign w:val="center"/>
          </w:tcPr>
          <w:p>
            <w:pPr>
              <w:rPr>
                <w:rFonts w:hint="eastAsia"/>
                <w:sz w:val="24"/>
                <w:szCs w:val="24"/>
                <w:vertAlign w:val="baseline"/>
                <w:lang w:val="en-US" w:eastAsia="zh-CN"/>
              </w:rPr>
            </w:pPr>
            <w:r>
              <w:rPr>
                <w:rFonts w:hint="eastAsia"/>
                <w:szCs w:val="21"/>
              </w:rPr>
              <w:t>1万</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bookmarkStart w:id="6" w:name="OLE_LINK6" w:colFirst="1" w:colLast="1"/>
            <w:r>
              <w:rPr>
                <w:rFonts w:hint="eastAsia"/>
                <w:sz w:val="24"/>
                <w:szCs w:val="24"/>
                <w:vertAlign w:val="baseline"/>
                <w:lang w:val="en-US" w:eastAsia="zh-CN"/>
              </w:rPr>
              <w:t>12</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胡丹</w:t>
            </w:r>
          </w:p>
        </w:tc>
        <w:tc>
          <w:tcPr>
            <w:tcW w:w="6918" w:type="dxa"/>
            <w:vAlign w:val="center"/>
          </w:tcPr>
          <w:p>
            <w:pPr>
              <w:keepNext w:val="0"/>
              <w:keepLines w:val="0"/>
              <w:widowControl/>
              <w:suppressLineNumbers w:val="0"/>
              <w:spacing w:before="100" w:beforeAutospacing="1" w:after="100" w:afterAutospacing="1"/>
              <w:ind w:right="0" w:rightChars="0"/>
              <w:jc w:val="left"/>
              <w:rPr>
                <w:rFonts w:hint="eastAsia" w:ascii="方正仿宋_GBK" w:eastAsia="方正仿宋_GBK"/>
                <w:color w:val="000000"/>
                <w:szCs w:val="21"/>
              </w:rPr>
            </w:pPr>
            <w:r>
              <w:rPr>
                <w:rFonts w:hint="eastAsia" w:ascii="宋体" w:hAnsi="宋体"/>
                <w:sz w:val="21"/>
                <w:lang w:val="en-US" w:eastAsia="zh-CN"/>
              </w:rPr>
              <w:t>柴胡疏肝散治疗卒中/抑郁共病的临床观察及弥散张量成像研究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w:t>
            </w:r>
            <w:r>
              <w:rPr>
                <w:rFonts w:hint="eastAsia" w:cs="Times New Roman"/>
                <w:kern w:val="0"/>
                <w:sz w:val="24"/>
                <w:szCs w:val="24"/>
                <w:vertAlign w:val="baseline"/>
                <w:lang w:val="en-US" w:eastAsia="zh-CN" w:bidi="ar"/>
              </w:rPr>
              <w:t>J</w:t>
            </w:r>
            <w:r>
              <w:rPr>
                <w:rFonts w:hint="eastAsia" w:ascii="Calibri" w:hAnsi="Calibri" w:eastAsia="宋体" w:cs="Times New Roman"/>
                <w:kern w:val="0"/>
                <w:sz w:val="24"/>
                <w:szCs w:val="24"/>
                <w:vertAlign w:val="baseline"/>
                <w:lang w:val="en-US" w:eastAsia="zh-CN" w:bidi="ar"/>
              </w:rPr>
              <w:t>Z201601</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cs="Times New Roman"/>
                <w:color w:val="auto"/>
                <w:kern w:val="0"/>
                <w:sz w:val="24"/>
                <w:szCs w:val="24"/>
                <w:vertAlign w:val="baseline"/>
                <w:lang w:val="en-US" w:eastAsia="zh-CN" w:bidi="ar"/>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13</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姜正艳</w:t>
            </w:r>
          </w:p>
        </w:tc>
        <w:tc>
          <w:tcPr>
            <w:tcW w:w="6918" w:type="dxa"/>
            <w:vAlign w:val="center"/>
          </w:tcPr>
          <w:p>
            <w:pPr>
              <w:keepNext w:val="0"/>
              <w:keepLines w:val="0"/>
              <w:widowControl/>
              <w:suppressLineNumbers w:val="0"/>
              <w:spacing w:before="100" w:beforeAutospacing="1" w:after="100" w:afterAutospacing="1"/>
              <w:ind w:right="0" w:rightChars="0"/>
              <w:jc w:val="left"/>
              <w:rPr>
                <w:rFonts w:hint="eastAsia" w:ascii="方正仿宋_GBK" w:eastAsia="方正仿宋_GBK"/>
                <w:color w:val="000000"/>
                <w:szCs w:val="21"/>
              </w:rPr>
            </w:pPr>
            <w:r>
              <w:rPr>
                <w:rFonts w:hint="eastAsia" w:ascii="宋体" w:hAnsi="宋体"/>
                <w:sz w:val="21"/>
              </w:rPr>
              <w:t>复方黑杞汤对非酒精性脂肪肝患者脂质代谢的影响</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SEZJJZ20160</w:t>
            </w:r>
            <w:r>
              <w:rPr>
                <w:rFonts w:hint="eastAsia" w:cs="Times New Roman"/>
                <w:kern w:val="0"/>
                <w:sz w:val="24"/>
                <w:szCs w:val="24"/>
                <w:vertAlign w:val="baseline"/>
                <w:lang w:val="en-US" w:eastAsia="zh-CN" w:bidi="ar"/>
              </w:rPr>
              <w:t>2</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14</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赵裕沛</w:t>
            </w:r>
          </w:p>
        </w:tc>
        <w:tc>
          <w:tcPr>
            <w:tcW w:w="6918" w:type="dxa"/>
            <w:vAlign w:val="center"/>
          </w:tcPr>
          <w:p>
            <w:pPr>
              <w:keepNext w:val="0"/>
              <w:keepLines w:val="0"/>
              <w:widowControl/>
              <w:suppressLineNumbers w:val="0"/>
              <w:spacing w:before="100" w:beforeAutospacing="1" w:after="100" w:afterAutospacing="1"/>
              <w:ind w:right="0" w:rightChars="0"/>
              <w:jc w:val="left"/>
              <w:rPr>
                <w:rFonts w:hint="eastAsia" w:ascii="方正仿宋_GBK" w:eastAsia="方正仿宋_GBK"/>
                <w:color w:val="000000"/>
                <w:szCs w:val="21"/>
              </w:rPr>
            </w:pPr>
            <w:r>
              <w:rPr>
                <w:rFonts w:hint="eastAsia" w:ascii="宋体" w:hAnsi="宋体"/>
                <w:sz w:val="21"/>
              </w:rPr>
              <w:t>督灸对慢性阻塞</w:t>
            </w:r>
            <w:r>
              <w:rPr>
                <w:rFonts w:hint="eastAsia" w:ascii="宋体" w:hAnsi="宋体"/>
                <w:color w:val="000000"/>
                <w:sz w:val="21"/>
              </w:rPr>
              <w:t>性肺</w:t>
            </w:r>
            <w:r>
              <w:rPr>
                <w:rFonts w:hint="eastAsia" w:ascii="宋体" w:hAnsi="宋体"/>
                <w:sz w:val="21"/>
              </w:rPr>
              <w:t>病稳定期患者外周血 Th17／Tre</w:t>
            </w:r>
            <w:r>
              <w:rPr>
                <w:rFonts w:hint="eastAsia" w:ascii="宋体" w:hAnsi="宋体"/>
                <w:color w:val="000000"/>
                <w:sz w:val="21"/>
              </w:rPr>
              <w:t>g的影响</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SEZJJZ20160</w:t>
            </w:r>
            <w:r>
              <w:rPr>
                <w:rFonts w:hint="eastAsia" w:cs="Times New Roman"/>
                <w:kern w:val="0"/>
                <w:sz w:val="24"/>
                <w:szCs w:val="24"/>
                <w:vertAlign w:val="baseline"/>
                <w:lang w:val="en-US" w:eastAsia="zh-CN" w:bidi="ar"/>
              </w:rPr>
              <w:t>3</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2万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15</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徐子卿</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温肾通络法作用内皮-成骨细胞间信号干预骨质疏松症的相关机制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SEZJJZ20160</w:t>
            </w:r>
            <w:r>
              <w:rPr>
                <w:rFonts w:hint="eastAsia" w:cs="Times New Roman"/>
                <w:kern w:val="0"/>
                <w:sz w:val="24"/>
                <w:szCs w:val="24"/>
                <w:vertAlign w:val="baseline"/>
                <w:lang w:val="en-US" w:eastAsia="zh-CN" w:bidi="ar"/>
              </w:rPr>
              <w:t>4</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16</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杨祁</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通窍鼻炎枕治疗变应性鼻炎临床疗效观察</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SEZJJZ20160</w:t>
            </w:r>
            <w:r>
              <w:rPr>
                <w:rFonts w:hint="eastAsia" w:cs="Times New Roman"/>
                <w:kern w:val="0"/>
                <w:sz w:val="24"/>
                <w:szCs w:val="24"/>
                <w:vertAlign w:val="baseline"/>
                <w:lang w:val="en-US" w:eastAsia="zh-CN" w:bidi="ar"/>
              </w:rPr>
              <w:t>5</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17</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张兰坤</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基于“肝藏血舍魂”理论探讨肝血亏虚型失眠多导睡眠图睡眠结构参数特征</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w:t>
            </w:r>
            <w:r>
              <w:rPr>
                <w:rFonts w:hint="eastAsia" w:cs="Times New Roman"/>
                <w:kern w:val="0"/>
                <w:sz w:val="24"/>
                <w:szCs w:val="24"/>
                <w:vertAlign w:val="baseline"/>
                <w:lang w:val="en-US" w:eastAsia="zh-CN" w:bidi="ar"/>
              </w:rPr>
              <w:t>P</w:t>
            </w:r>
            <w:r>
              <w:rPr>
                <w:rFonts w:hint="eastAsia" w:ascii="Calibri" w:hAnsi="Calibri" w:eastAsia="宋体" w:cs="Times New Roman"/>
                <w:kern w:val="0"/>
                <w:sz w:val="24"/>
                <w:szCs w:val="24"/>
                <w:vertAlign w:val="baseline"/>
                <w:lang w:val="en-US" w:eastAsia="zh-CN" w:bidi="ar"/>
              </w:rPr>
              <w:t>201601</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18</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李浩</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脐灸温通改善帕金森患者运动功能障碍的临床研究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2</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19</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罗超</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胃血清学检测与慢性萎缩性胃炎相关性分析及益气清热活血法的疗效研究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3</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王霞</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基于自噬探讨猫人参提取物抑制胃癌细胞的作用及机制研究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4</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21</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方祯</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基于对肝癌微环境中HGF/c-Met信号通路的调控探讨健脾活血复方抑制肝癌TACE术后复发转移的作用机制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5</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22</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蔡琴</w:t>
            </w:r>
          </w:p>
        </w:tc>
        <w:tc>
          <w:tcPr>
            <w:tcW w:w="6918" w:type="dxa"/>
            <w:vAlign w:val="center"/>
          </w:tcPr>
          <w:p>
            <w:pPr>
              <w:keepNext w:val="0"/>
              <w:keepLines w:val="0"/>
              <w:widowControl/>
              <w:suppressLineNumbers w:val="0"/>
              <w:spacing w:before="100" w:beforeAutospacing="1" w:after="100" w:afterAutospacing="1"/>
              <w:ind w:right="0" w:rightChars="0"/>
              <w:jc w:val="left"/>
              <w:rPr>
                <w:rFonts w:hint="eastAsia" w:ascii="方正仿宋_GBK" w:eastAsia="方正仿宋_GBK"/>
                <w:color w:val="000000"/>
                <w:szCs w:val="21"/>
              </w:rPr>
            </w:pPr>
            <w:r>
              <w:rPr>
                <w:rFonts w:hint="eastAsia" w:cs="Times New Roman"/>
                <w:kern w:val="0"/>
                <w:sz w:val="24"/>
                <w:szCs w:val="24"/>
                <w:vertAlign w:val="baseline"/>
                <w:lang w:val="en-US" w:eastAsia="zh-CN" w:bidi="ar"/>
              </w:rPr>
              <w:t>温补脾肾方对高尿酸血症肾病尿酸及尿蛋白的影响</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6</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23</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严璐</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支气管哮喘不同证型间Treg细胞及内源性皮质醇水平及临床意义研究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7</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24</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李磊</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基于cck-8研究通腑泻肺法治疗慢性阻塞性肺疾病急性加重期抗炎机制的临床研究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8</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bookmarkStart w:id="7" w:name="OLE_LINK7" w:colFirst="1" w:colLast="1"/>
            <w:r>
              <w:rPr>
                <w:rFonts w:hint="eastAsia"/>
                <w:sz w:val="24"/>
                <w:szCs w:val="24"/>
                <w:vertAlign w:val="baseline"/>
                <w:lang w:val="en-US" w:eastAsia="zh-CN"/>
              </w:rPr>
              <w:t>25</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方五旺</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红景天甙联合Wnt信号通路促进骨髓间充质干细胞向心肌细胞分化的观察</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SEZJJP20160</w:t>
            </w:r>
            <w:r>
              <w:rPr>
                <w:rFonts w:hint="eastAsia" w:cs="Times New Roman"/>
                <w:kern w:val="0"/>
                <w:sz w:val="24"/>
                <w:szCs w:val="24"/>
                <w:vertAlign w:val="baseline"/>
                <w:lang w:val="en-US" w:eastAsia="zh-CN" w:bidi="ar"/>
              </w:rPr>
              <w:t>9</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26</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张强</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应用高粘度骨水泥（或骨水泥高粘期）治疗腰椎椎体压缩性骨折的临床研究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10</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27</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徐晋</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消痛膏外敷对于腹部手术术后胃肠功能恢复的疗效评价研究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11</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28</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余德金</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辽东楤木根总皂苷对人恶性淋巴瘤Namalwa细胞抑制作用研究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12</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29</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江滔</w:t>
            </w:r>
          </w:p>
        </w:tc>
        <w:tc>
          <w:tcPr>
            <w:tcW w:w="6918" w:type="dxa"/>
            <w:vAlign w:val="center"/>
          </w:tcPr>
          <w:p>
            <w:pPr>
              <w:keepNext w:val="0"/>
              <w:keepLines w:val="0"/>
              <w:widowControl/>
              <w:suppressLineNumbers w:val="0"/>
              <w:spacing w:before="100" w:beforeAutospacing="1" w:after="100" w:afterAutospacing="1"/>
              <w:ind w:right="0" w:rightChars="0"/>
              <w:jc w:val="left"/>
              <w:rPr>
                <w:rFonts w:hint="eastAsia" w:ascii="方正仿宋_GBK" w:eastAsia="方正仿宋_GBK"/>
                <w:color w:val="000000"/>
                <w:szCs w:val="21"/>
              </w:rPr>
            </w:pPr>
            <w:r>
              <w:rPr>
                <w:rFonts w:hint="eastAsia" w:ascii="宋体" w:hAnsi="宋体"/>
                <w:sz w:val="21"/>
              </w:rPr>
              <w:t>糖尿病神经病变患者B族维生素的不同检测方法的对照研究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13</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30</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陈志勇</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参附注射液对围术期患者血清CRP、FIB、D2D水平的影响及临床意义分析</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14</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bookmarkStart w:id="8" w:name="OLE_LINK10" w:colFirst="2" w:colLast="2"/>
            <w:r>
              <w:rPr>
                <w:rFonts w:hint="eastAsia"/>
                <w:sz w:val="24"/>
                <w:szCs w:val="24"/>
                <w:vertAlign w:val="baseline"/>
                <w:lang w:val="en-US" w:eastAsia="zh-CN"/>
              </w:rPr>
              <w:t>31</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沈佳</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丰隆、神阙穴位贴敷干预高脂血症的研究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15</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32</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安静娟</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益气温阳方治疗儿童性鼻炎的疗效观察</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16</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bookmarkStart w:id="9" w:name="OLE_LINK8" w:colFirst="1" w:colLast="1"/>
            <w:r>
              <w:rPr>
                <w:rFonts w:hint="eastAsia"/>
                <w:sz w:val="24"/>
                <w:szCs w:val="24"/>
                <w:vertAlign w:val="baseline"/>
                <w:lang w:val="en-US" w:eastAsia="zh-CN"/>
              </w:rPr>
              <w:t>33</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柏志芳</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火针治疗玫瑰痤疮临床疗效的观察研究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17</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34</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龚铠</w:t>
            </w:r>
          </w:p>
        </w:tc>
        <w:tc>
          <w:tcPr>
            <w:tcW w:w="6918" w:type="dxa"/>
            <w:vAlign w:val="center"/>
          </w:tcPr>
          <w:p>
            <w:pPr>
              <w:jc w:val="left"/>
              <w:rPr>
                <w:rFonts w:hint="eastAsia" w:ascii="方正仿宋_GBK" w:eastAsia="方正仿宋_GBK"/>
                <w:color w:val="000000"/>
                <w:szCs w:val="21"/>
              </w:rPr>
            </w:pPr>
            <w:r>
              <w:rPr>
                <w:rFonts w:hint="eastAsia" w:ascii="宋体" w:hAnsi="宋体"/>
                <w:sz w:val="21"/>
                <w:lang w:val="en-US" w:eastAsia="zh-CN"/>
              </w:rPr>
              <w:t>眼底照相和眼底荧光血管造影在早期糖尿病视网膜病变中微血管瘤等改变的对比观察</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SEZJJP20161</w:t>
            </w:r>
            <w:r>
              <w:rPr>
                <w:rFonts w:hint="eastAsia" w:cs="Times New Roman"/>
                <w:kern w:val="0"/>
                <w:sz w:val="24"/>
                <w:szCs w:val="24"/>
                <w:vertAlign w:val="baseline"/>
                <w:lang w:val="en-US" w:eastAsia="zh-CN" w:bidi="ar"/>
              </w:rPr>
              <w:t>8</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35</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孔评石</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免疫检查点分子和调节性T细胞在中药复方治疗的肿瘤患者外周血中表达的研究</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SEZJJP20161</w:t>
            </w:r>
            <w:r>
              <w:rPr>
                <w:rFonts w:hint="eastAsia" w:cs="Times New Roman"/>
                <w:kern w:val="0"/>
                <w:sz w:val="24"/>
                <w:szCs w:val="24"/>
                <w:vertAlign w:val="baseline"/>
                <w:lang w:val="en-US" w:eastAsia="zh-CN" w:bidi="ar"/>
              </w:rPr>
              <w:t>9</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36</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2016.12</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1年</w:t>
            </w:r>
          </w:p>
        </w:tc>
        <w:tc>
          <w:tcPr>
            <w:tcW w:w="1215" w:type="dxa"/>
            <w:vAlign w:val="center"/>
          </w:tcPr>
          <w:p>
            <w:pPr>
              <w:keepNext w:val="0"/>
              <w:keepLines w:val="0"/>
              <w:widowControl/>
              <w:suppressLineNumbers w:val="0"/>
              <w:spacing w:before="100" w:beforeAutospacing="1" w:after="100" w:afterAutospacing="1"/>
              <w:ind w:right="0" w:rightChars="0"/>
              <w:jc w:val="center"/>
              <w:rPr>
                <w:rFonts w:hint="eastAsia"/>
                <w:color w:val="000000"/>
                <w:szCs w:val="21"/>
              </w:rPr>
            </w:pPr>
            <w:r>
              <w:rPr>
                <w:rFonts w:hint="eastAsia" w:ascii="宋体" w:hAnsi="宋体"/>
                <w:sz w:val="21"/>
                <w:lang w:val="en-US" w:eastAsia="zh-CN"/>
              </w:rPr>
              <w:t>钱海燕</w:t>
            </w:r>
          </w:p>
        </w:tc>
        <w:tc>
          <w:tcPr>
            <w:tcW w:w="6918" w:type="dxa"/>
            <w:vAlign w:val="center"/>
          </w:tcPr>
          <w:p>
            <w:pPr>
              <w:jc w:val="left"/>
              <w:rPr>
                <w:rFonts w:hint="eastAsia" w:ascii="方正仿宋_GBK" w:eastAsia="方正仿宋_GBK"/>
                <w:color w:val="000000"/>
                <w:szCs w:val="21"/>
              </w:rPr>
            </w:pPr>
            <w:r>
              <w:rPr>
                <w:rFonts w:hint="eastAsia" w:ascii="宋体" w:hAnsi="宋体"/>
                <w:sz w:val="21"/>
              </w:rPr>
              <w:t xml:space="preserve">加味玉屏风浓煎剂的工艺优化设计及对小儿反复呼吸道感染免疫功能的影响   </w:t>
            </w:r>
          </w:p>
        </w:tc>
        <w:tc>
          <w:tcPr>
            <w:tcW w:w="1947" w:type="dxa"/>
            <w:vAlign w:val="center"/>
          </w:tcPr>
          <w:p>
            <w:pPr>
              <w:keepNext w:val="0"/>
              <w:keepLines w:val="0"/>
              <w:widowControl/>
              <w:suppressLineNumbers w:val="0"/>
              <w:spacing w:before="100" w:beforeAutospacing="1" w:after="100" w:afterAutospacing="1"/>
              <w:ind w:right="0" w:rightChars="0"/>
              <w:jc w:val="center"/>
              <w:rPr>
                <w:rFonts w:hint="eastAsia"/>
                <w:szCs w:val="21"/>
              </w:rPr>
            </w:pPr>
            <w:r>
              <w:rPr>
                <w:rFonts w:hint="eastAsia" w:ascii="Calibri" w:hAnsi="Calibri" w:eastAsia="宋体" w:cs="Times New Roman"/>
                <w:kern w:val="0"/>
                <w:sz w:val="24"/>
                <w:szCs w:val="24"/>
                <w:vertAlign w:val="baseline"/>
                <w:lang w:val="en-US" w:eastAsia="zh-CN" w:bidi="ar"/>
              </w:rPr>
              <w:t>SEZJJP2016</w:t>
            </w:r>
            <w:r>
              <w:rPr>
                <w:rFonts w:hint="eastAsia" w:cs="Times New Roman"/>
                <w:kern w:val="0"/>
                <w:sz w:val="24"/>
                <w:szCs w:val="24"/>
                <w:vertAlign w:val="baseline"/>
                <w:lang w:val="en-US" w:eastAsia="zh-CN" w:bidi="ar"/>
              </w:rPr>
              <w:t>20</w:t>
            </w:r>
          </w:p>
        </w:tc>
        <w:tc>
          <w:tcPr>
            <w:tcW w:w="913" w:type="dxa"/>
            <w:vAlign w:val="center"/>
          </w:tcPr>
          <w:p>
            <w:pPr>
              <w:keepNext w:val="0"/>
              <w:keepLines w:val="0"/>
              <w:widowControl/>
              <w:suppressLineNumbers w:val="0"/>
              <w:spacing w:before="100" w:beforeAutospacing="1" w:after="100" w:afterAutospacing="1"/>
              <w:ind w:right="0" w:rightChars="0"/>
              <w:jc w:val="center"/>
              <w:rPr>
                <w:rFonts w:hint="eastAsia"/>
                <w:color w:val="auto"/>
                <w:szCs w:val="21"/>
              </w:rPr>
            </w:pPr>
            <w:r>
              <w:rPr>
                <w:rFonts w:hint="eastAsia" w:ascii="Calibri" w:hAnsi="Calibri" w:eastAsia="宋体" w:cs="Times New Roman"/>
                <w:color w:val="auto"/>
                <w:kern w:val="0"/>
                <w:sz w:val="24"/>
                <w:szCs w:val="24"/>
                <w:vertAlign w:val="baseline"/>
                <w:lang w:val="en-US" w:eastAsia="zh-CN" w:bidi="ar"/>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37</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line="360" w:lineRule="auto"/>
              <w:jc w:val="center"/>
              <w:rPr>
                <w:rFonts w:hint="eastAsia" w:ascii="宋体" w:hAnsi="宋体"/>
                <w:sz w:val="21"/>
                <w:lang w:val="en-US" w:eastAsia="zh-CN"/>
              </w:rPr>
            </w:pPr>
            <w:r>
              <w:rPr>
                <w:rFonts w:hint="eastAsia"/>
                <w:color w:val="0C0C0C"/>
                <w:lang w:val="en-US" w:eastAsia="zh-CN"/>
              </w:rPr>
              <w:t>郑亮</w:t>
            </w:r>
          </w:p>
        </w:tc>
        <w:tc>
          <w:tcPr>
            <w:tcW w:w="6918" w:type="dxa"/>
            <w:vAlign w:val="top"/>
          </w:tcPr>
          <w:p>
            <w:pPr>
              <w:spacing w:line="360" w:lineRule="auto"/>
              <w:rPr>
                <w:rFonts w:hint="eastAsia" w:ascii="宋体" w:hAnsi="宋体"/>
                <w:sz w:val="21"/>
              </w:rPr>
            </w:pPr>
            <w:r>
              <w:rPr>
                <w:rFonts w:hint="eastAsia"/>
                <w:lang w:val="en-US" w:eastAsia="zh-CN"/>
              </w:rPr>
              <w:t>獐宝对慢性萎缩性胃炎癌前病变ERK­1、AKT2和PTEN表达影响的实验研究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01</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38</w:t>
            </w:r>
          </w:p>
        </w:tc>
        <w:tc>
          <w:tcPr>
            <w:tcW w:w="1275"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color w:val="0C0C0C"/>
                <w:sz w:val="21"/>
              </w:rPr>
              <w:t>朱庆平</w:t>
            </w:r>
          </w:p>
        </w:tc>
        <w:tc>
          <w:tcPr>
            <w:tcW w:w="6918" w:type="dxa"/>
            <w:vAlign w:val="top"/>
          </w:tcPr>
          <w:p>
            <w:pPr>
              <w:spacing w:beforeLines="0" w:afterLines="0" w:line="360" w:lineRule="auto"/>
              <w:rPr>
                <w:rFonts w:hint="eastAsia" w:ascii="宋体" w:hAnsi="宋体"/>
                <w:sz w:val="21"/>
              </w:rPr>
            </w:pPr>
            <w:r>
              <w:rPr>
                <w:rFonts w:hint="eastAsia"/>
                <w:sz w:val="21"/>
              </w:rPr>
              <w:t>獐宝与复方消化酶对胃动力、胃蛋白酶及胃泌素的影响的实验研究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02</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39</w:t>
            </w:r>
          </w:p>
        </w:tc>
        <w:tc>
          <w:tcPr>
            <w:tcW w:w="1275"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color w:val="0C0C0C"/>
                <w:sz w:val="21"/>
              </w:rPr>
              <w:t>梅雨玫</w:t>
            </w:r>
          </w:p>
        </w:tc>
        <w:tc>
          <w:tcPr>
            <w:tcW w:w="6918" w:type="dxa"/>
            <w:vAlign w:val="top"/>
          </w:tcPr>
          <w:p>
            <w:pPr>
              <w:spacing w:beforeLines="0" w:afterLines="0" w:line="360" w:lineRule="auto"/>
              <w:rPr>
                <w:rFonts w:hint="eastAsia" w:ascii="宋体" w:hAnsi="宋体"/>
                <w:sz w:val="21"/>
              </w:rPr>
            </w:pPr>
            <w:r>
              <w:rPr>
                <w:rFonts w:hint="eastAsia"/>
                <w:sz w:val="21"/>
              </w:rPr>
              <w:t>观察獐宝对萎缩性胃炎TGF-β1及Smad3表达的影响</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03</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40</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color w:val="0C0C0C"/>
                <w:sz w:val="21"/>
              </w:rPr>
              <w:t>朱晓琳</w:t>
            </w:r>
          </w:p>
        </w:tc>
        <w:tc>
          <w:tcPr>
            <w:tcW w:w="6918" w:type="dxa"/>
            <w:vAlign w:val="top"/>
          </w:tcPr>
          <w:p>
            <w:pPr>
              <w:spacing w:beforeLines="0" w:afterLines="0" w:line="360" w:lineRule="auto"/>
              <w:rPr>
                <w:rFonts w:hint="eastAsia" w:ascii="宋体" w:hAnsi="宋体"/>
                <w:sz w:val="21"/>
              </w:rPr>
            </w:pPr>
            <w:r>
              <w:rPr>
                <w:rFonts w:hint="eastAsia"/>
                <w:sz w:val="21"/>
              </w:rPr>
              <w:t>獐宝对功能性消化不良大鼠胃肠排空及GHSR蛋白表达水平的影响</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04</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41</w:t>
            </w:r>
          </w:p>
        </w:tc>
        <w:tc>
          <w:tcPr>
            <w:tcW w:w="1275"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color w:val="0C0C0C"/>
                <w:sz w:val="21"/>
              </w:rPr>
              <w:t>王媛媛</w:t>
            </w:r>
          </w:p>
        </w:tc>
        <w:tc>
          <w:tcPr>
            <w:tcW w:w="6918" w:type="dxa"/>
            <w:vAlign w:val="top"/>
          </w:tcPr>
          <w:p>
            <w:pPr>
              <w:spacing w:beforeLines="0" w:afterLines="0" w:line="360" w:lineRule="auto"/>
              <w:rPr>
                <w:rFonts w:hint="eastAsia" w:ascii="宋体" w:hAnsi="宋体"/>
                <w:sz w:val="21"/>
              </w:rPr>
            </w:pPr>
            <w:r>
              <w:rPr>
                <w:rFonts w:hint="eastAsia"/>
                <w:sz w:val="21"/>
              </w:rPr>
              <w:t>獐宝对胃癌前病变大鼠胃黏膜凋亡机制的影响</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05</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42</w:t>
            </w:r>
          </w:p>
        </w:tc>
        <w:tc>
          <w:tcPr>
            <w:tcW w:w="1275"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color w:val="0C0C0C"/>
                <w:sz w:val="21"/>
              </w:rPr>
              <w:t>董学梅</w:t>
            </w:r>
          </w:p>
        </w:tc>
        <w:tc>
          <w:tcPr>
            <w:tcW w:w="6918" w:type="dxa"/>
            <w:vAlign w:val="top"/>
          </w:tcPr>
          <w:p>
            <w:pPr>
              <w:spacing w:beforeLines="0" w:afterLines="0" w:line="360" w:lineRule="auto"/>
              <w:rPr>
                <w:rFonts w:hint="eastAsia" w:ascii="宋体" w:hAnsi="宋体"/>
                <w:sz w:val="21"/>
              </w:rPr>
            </w:pPr>
            <w:r>
              <w:rPr>
                <w:rFonts w:hint="eastAsia"/>
                <w:sz w:val="21"/>
              </w:rPr>
              <w:t>獐宝对葡萄膜炎患者CD4+、CD8+及IgG、IgM、IgA的变化研究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06</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43</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line="360" w:lineRule="auto"/>
              <w:jc w:val="center"/>
              <w:rPr>
                <w:rFonts w:hint="eastAsia" w:ascii="宋体" w:hAnsi="宋体"/>
                <w:sz w:val="21"/>
                <w:lang w:val="en-US" w:eastAsia="zh-CN"/>
              </w:rPr>
            </w:pPr>
            <w:r>
              <w:rPr>
                <w:rFonts w:hint="eastAsia"/>
                <w:color w:val="0C0C0C"/>
                <w:sz w:val="21"/>
              </w:rPr>
              <w:t>钱海燕</w:t>
            </w:r>
          </w:p>
        </w:tc>
        <w:tc>
          <w:tcPr>
            <w:tcW w:w="6918" w:type="dxa"/>
            <w:vAlign w:val="top"/>
          </w:tcPr>
          <w:p>
            <w:pPr>
              <w:spacing w:line="360" w:lineRule="auto"/>
              <w:rPr>
                <w:rFonts w:hint="eastAsia" w:ascii="宋体" w:hAnsi="宋体"/>
                <w:sz w:val="21"/>
              </w:rPr>
            </w:pPr>
            <w:r>
              <w:rPr>
                <w:rFonts w:hint="eastAsia"/>
                <w:sz w:val="21"/>
              </w:rPr>
              <w:t>獐宝在小鼠MC38皮下移植肿瘤模型中的药效学研究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07</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44</w:t>
            </w:r>
          </w:p>
        </w:tc>
        <w:tc>
          <w:tcPr>
            <w:tcW w:w="1275"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line="360" w:lineRule="auto"/>
              <w:jc w:val="center"/>
              <w:rPr>
                <w:rFonts w:hint="eastAsia" w:ascii="宋体" w:hAnsi="宋体"/>
                <w:sz w:val="21"/>
                <w:lang w:val="en-US" w:eastAsia="zh-CN"/>
              </w:rPr>
            </w:pPr>
            <w:r>
              <w:rPr>
                <w:rFonts w:hint="eastAsia"/>
                <w:color w:val="0C0C0C"/>
                <w:lang w:val="en-US" w:eastAsia="zh-CN"/>
              </w:rPr>
              <w:t>王新美</w:t>
            </w:r>
          </w:p>
        </w:tc>
        <w:tc>
          <w:tcPr>
            <w:tcW w:w="6918" w:type="dxa"/>
            <w:vAlign w:val="top"/>
          </w:tcPr>
          <w:p>
            <w:pPr>
              <w:spacing w:line="360" w:lineRule="auto"/>
              <w:rPr>
                <w:rFonts w:hint="eastAsia" w:ascii="宋体" w:hAnsi="宋体"/>
                <w:sz w:val="21"/>
              </w:rPr>
            </w:pPr>
            <w:r>
              <w:rPr>
                <w:rFonts w:hint="eastAsia"/>
                <w:lang w:val="en-US" w:eastAsia="zh-CN"/>
              </w:rPr>
              <w:t>獐宝及复方健胃消食口服液对小儿功能性消化不良的胃动素、胃泌素的实验研究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08</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45</w:t>
            </w:r>
          </w:p>
        </w:tc>
        <w:tc>
          <w:tcPr>
            <w:tcW w:w="1275"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line="360" w:lineRule="auto"/>
              <w:jc w:val="center"/>
              <w:rPr>
                <w:rFonts w:hint="eastAsia" w:ascii="宋体" w:hAnsi="宋体"/>
                <w:sz w:val="21"/>
                <w:lang w:val="en-US" w:eastAsia="zh-CN"/>
              </w:rPr>
            </w:pPr>
            <w:r>
              <w:rPr>
                <w:rFonts w:hint="eastAsia"/>
                <w:color w:val="0C0C0C"/>
                <w:lang w:val="en-US" w:eastAsia="zh-CN"/>
              </w:rPr>
              <w:t>金小晶</w:t>
            </w:r>
          </w:p>
        </w:tc>
        <w:tc>
          <w:tcPr>
            <w:tcW w:w="6918" w:type="dxa"/>
            <w:vAlign w:val="top"/>
          </w:tcPr>
          <w:p>
            <w:pPr>
              <w:spacing w:line="360" w:lineRule="auto"/>
              <w:rPr>
                <w:rFonts w:hint="eastAsia" w:ascii="宋体" w:hAnsi="宋体"/>
                <w:sz w:val="21"/>
              </w:rPr>
            </w:pPr>
            <w:r>
              <w:rPr>
                <w:rFonts w:hint="eastAsia"/>
                <w:lang w:val="en-US" w:eastAsia="zh-CN"/>
              </w:rPr>
              <w:t>獐宝益胃汤对DGIMD模型大鼠的胃肠组织ACHE，NOS表达影响的实验研究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09</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46</w:t>
            </w:r>
          </w:p>
        </w:tc>
        <w:tc>
          <w:tcPr>
            <w:tcW w:w="1275"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center"/>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color w:val="0C0C0C"/>
                <w:sz w:val="21"/>
              </w:rPr>
              <w:t>夏军权</w:t>
            </w:r>
          </w:p>
        </w:tc>
        <w:tc>
          <w:tcPr>
            <w:tcW w:w="6918" w:type="dxa"/>
            <w:vAlign w:val="top"/>
          </w:tcPr>
          <w:p>
            <w:pPr>
              <w:spacing w:beforeLines="0" w:afterLines="0" w:line="360" w:lineRule="auto"/>
              <w:rPr>
                <w:rFonts w:hint="eastAsia" w:ascii="宋体" w:hAnsi="宋体"/>
                <w:sz w:val="21"/>
              </w:rPr>
            </w:pPr>
            <w:r>
              <w:rPr>
                <w:rFonts w:hint="eastAsia"/>
                <w:sz w:val="21"/>
              </w:rPr>
              <w:t>獐宝益气散对免疫抑制小鼠免疫功能调节作用的机制研究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w:t>
            </w:r>
            <w:r>
              <w:rPr>
                <w:rFonts w:hint="eastAsia"/>
                <w:szCs w:val="21"/>
                <w:lang w:val="en-US" w:eastAsia="zh-CN"/>
              </w:rPr>
              <w:t>17</w:t>
            </w:r>
            <w:r>
              <w:rPr>
                <w:rFonts w:hint="eastAsia"/>
                <w:szCs w:val="21"/>
              </w:rPr>
              <w:t>10</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47</w:t>
            </w:r>
          </w:p>
        </w:tc>
        <w:tc>
          <w:tcPr>
            <w:tcW w:w="1275"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rPr>
              <w:t>孙刚</w:t>
            </w:r>
          </w:p>
        </w:tc>
        <w:tc>
          <w:tcPr>
            <w:tcW w:w="6918" w:type="dxa"/>
            <w:vAlign w:val="top"/>
          </w:tcPr>
          <w:p>
            <w:pPr>
              <w:spacing w:beforeLines="0" w:afterLines="0" w:line="360" w:lineRule="auto"/>
              <w:rPr>
                <w:rFonts w:hint="eastAsia" w:ascii="宋体" w:hAnsi="宋体"/>
                <w:sz w:val="21"/>
              </w:rPr>
            </w:pPr>
            <w:r>
              <w:rPr>
                <w:rFonts w:hint="eastAsia"/>
                <w:sz w:val="21"/>
              </w:rPr>
              <w:t>獐宝联合加味六君子汤治疗慢性萎缩性胃炎伴癌前病变（脾胃虚弱证）的临床观察</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11</w:t>
            </w:r>
            <w:r>
              <w:rPr>
                <w:rFonts w:hint="eastAsia"/>
                <w:szCs w:val="21"/>
                <w:lang w:val="en-US" w:eastAsia="zh-CN"/>
              </w:rPr>
              <w:t>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67" w:type="dxa"/>
          </w:tcPr>
          <w:p>
            <w:pPr>
              <w:spacing w:line="240" w:lineRule="auto"/>
              <w:rPr>
                <w:rFonts w:hint="eastAsia"/>
                <w:sz w:val="24"/>
                <w:szCs w:val="24"/>
                <w:vertAlign w:val="baseline"/>
                <w:lang w:val="en-US" w:eastAsia="zh-CN"/>
              </w:rPr>
            </w:pPr>
            <w:r>
              <w:rPr>
                <w:rFonts w:hint="eastAsia"/>
                <w:sz w:val="24"/>
                <w:szCs w:val="24"/>
                <w:vertAlign w:val="baseline"/>
                <w:lang w:val="en-US" w:eastAsia="zh-CN"/>
              </w:rPr>
              <w:t>48</w:t>
            </w:r>
          </w:p>
        </w:tc>
        <w:tc>
          <w:tcPr>
            <w:tcW w:w="1275"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2017.6</w:t>
            </w:r>
          </w:p>
        </w:tc>
        <w:tc>
          <w:tcPr>
            <w:tcW w:w="682" w:type="dxa"/>
            <w:vAlign w:val="top"/>
          </w:tcPr>
          <w:p>
            <w:pPr>
              <w:spacing w:line="240" w:lineRule="auto"/>
              <w:rPr>
                <w:rFonts w:hint="eastAsia"/>
                <w:sz w:val="24"/>
                <w:szCs w:val="24"/>
                <w:vertAlign w:val="baseline"/>
                <w:lang w:val="en-US" w:eastAsia="zh-CN"/>
              </w:rPr>
            </w:pPr>
            <w:r>
              <w:rPr>
                <w:rFonts w:hint="eastAsia"/>
                <w:sz w:val="24"/>
                <w:szCs w:val="24"/>
                <w:vertAlign w:val="baseline"/>
                <w:lang w:val="en-US" w:eastAsia="zh-CN"/>
              </w:rPr>
              <w:t>2年</w:t>
            </w:r>
          </w:p>
        </w:tc>
        <w:tc>
          <w:tcPr>
            <w:tcW w:w="1215" w:type="dxa"/>
            <w:vAlign w:val="top"/>
          </w:tcPr>
          <w:p>
            <w:pPr>
              <w:spacing w:beforeLines="0" w:afterLines="0" w:line="360" w:lineRule="auto"/>
              <w:jc w:val="center"/>
              <w:rPr>
                <w:rFonts w:hint="eastAsia" w:ascii="宋体" w:hAnsi="宋体"/>
                <w:sz w:val="21"/>
                <w:lang w:val="en-US" w:eastAsia="zh-CN"/>
              </w:rPr>
            </w:pPr>
            <w:r>
              <w:rPr>
                <w:rFonts w:hint="eastAsia"/>
                <w:color w:val="0C0C0C"/>
                <w:sz w:val="21"/>
                <w:lang w:eastAsia="zh-CN"/>
              </w:rPr>
              <w:t>陈国华</w:t>
            </w:r>
          </w:p>
        </w:tc>
        <w:tc>
          <w:tcPr>
            <w:tcW w:w="6918" w:type="dxa"/>
            <w:vAlign w:val="top"/>
          </w:tcPr>
          <w:p>
            <w:pPr>
              <w:spacing w:beforeLines="0" w:afterLines="0" w:line="360" w:lineRule="auto"/>
              <w:rPr>
                <w:rFonts w:hint="eastAsia" w:ascii="宋体" w:hAnsi="宋体"/>
                <w:sz w:val="21"/>
              </w:rPr>
            </w:pPr>
            <w:r>
              <w:rPr>
                <w:rFonts w:hint="eastAsia"/>
                <w:sz w:val="21"/>
              </w:rPr>
              <w:t>獐宝对小儿厌食症大鼠的胃泌素、胃酸、胃蛋白酶影响的实验研究</w:t>
            </w:r>
          </w:p>
        </w:tc>
        <w:tc>
          <w:tcPr>
            <w:tcW w:w="1947" w:type="dxa"/>
            <w:vAlign w:val="top"/>
          </w:tcPr>
          <w:p>
            <w:pPr>
              <w:rPr>
                <w:rFonts w:hint="eastAsia" w:ascii="Calibri" w:hAnsi="Calibri" w:eastAsia="宋体" w:cs="Times New Roman"/>
                <w:kern w:val="0"/>
                <w:sz w:val="24"/>
                <w:szCs w:val="24"/>
                <w:vertAlign w:val="baseline"/>
                <w:lang w:val="en-US" w:eastAsia="zh-CN" w:bidi="ar"/>
              </w:rPr>
            </w:pPr>
            <w:r>
              <w:rPr>
                <w:rFonts w:hint="eastAsia"/>
                <w:szCs w:val="21"/>
              </w:rPr>
              <w:t>SEZ201</w:t>
            </w:r>
            <w:r>
              <w:rPr>
                <w:rFonts w:hint="eastAsia"/>
                <w:szCs w:val="21"/>
                <w:lang w:val="en-US" w:eastAsia="zh-CN"/>
              </w:rPr>
              <w:t>7</w:t>
            </w:r>
            <w:r>
              <w:rPr>
                <w:rFonts w:hint="eastAsia"/>
                <w:szCs w:val="21"/>
              </w:rPr>
              <w:t>1</w:t>
            </w:r>
            <w:r>
              <w:rPr>
                <w:rFonts w:hint="eastAsia"/>
                <w:szCs w:val="21"/>
                <w:lang w:val="en-US" w:eastAsia="zh-CN"/>
              </w:rPr>
              <w:t>2PW</w:t>
            </w:r>
          </w:p>
        </w:tc>
        <w:tc>
          <w:tcPr>
            <w:tcW w:w="913" w:type="dxa"/>
            <w:vAlign w:val="top"/>
          </w:tcPr>
          <w:p>
            <w:pPr>
              <w:rPr>
                <w:rFonts w:hint="eastAsia" w:ascii="Calibri" w:hAnsi="Calibri" w:eastAsia="宋体" w:cs="Times New Roman"/>
                <w:color w:val="auto"/>
                <w:kern w:val="0"/>
                <w:sz w:val="24"/>
                <w:szCs w:val="24"/>
                <w:vertAlign w:val="baseline"/>
                <w:lang w:val="en-US" w:eastAsia="zh-CN" w:bidi="ar"/>
              </w:rPr>
            </w:pPr>
            <w:r>
              <w:rPr>
                <w:rFonts w:hint="eastAsia"/>
                <w:szCs w:val="21"/>
                <w:lang w:val="en-US" w:eastAsia="zh-CN"/>
              </w:rPr>
              <w:t>3</w:t>
            </w:r>
            <w:r>
              <w:rPr>
                <w:rFonts w:hint="eastAsia"/>
                <w:szCs w:val="21"/>
              </w:rPr>
              <w:t>万</w:t>
            </w:r>
          </w:p>
        </w:tc>
      </w:tr>
    </w:tbl>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方正仿宋_GBK">
    <w:altName w:val="宋体"/>
    <w:panose1 w:val="00000000000000000000"/>
    <w:charset w:val="86"/>
    <w:family w:val="roman"/>
    <w:pitch w:val="default"/>
    <w:sig w:usb0="00000000" w:usb1="00000000" w:usb2="00000010" w:usb3="00000000" w:csb0="00040000" w:csb1="00000000"/>
  </w:font>
  <w:font w:name="仿宋">
    <w:altName w:val="宋体"/>
    <w:panose1 w:val="02010609060101010101"/>
    <w:charset w:val="86"/>
    <w:family w:val="swiss"/>
    <w:pitch w:val="default"/>
    <w:sig w:usb0="00000000" w:usb1="00000000" w:usb2="00000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黑体"/>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B77A6"/>
    <w:rsid w:val="01922BE1"/>
    <w:rsid w:val="06B23C32"/>
    <w:rsid w:val="0C7F7830"/>
    <w:rsid w:val="1CBB77A6"/>
    <w:rsid w:val="6EA35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2017-05-04T01:11:00Z</dcterms:created>
  <dc:creator>fdgfg</dc:creator>
  <cp:lastModifiedBy>Administrator</cp:lastModifiedBy>
  <cp:lastPrinted>2017-07-26T02:44:00Z</cp:lastPrinted>
  <dcterms:modified xsi:type="dcterms:W3CDTF">2017-10-20T08:03:39Z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